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7A" w:rsidRPr="002F41C6" w:rsidRDefault="0061057A" w:rsidP="0061057A">
      <w:pPr>
        <w:bidi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fr-FR" w:bidi="ar-TN"/>
        </w:rPr>
      </w:pPr>
      <w:r w:rsidRPr="002F41C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fr-FR" w:bidi="ar-TN"/>
        </w:rPr>
        <w:t xml:space="preserve">تقرير حول حادثة نفوق الأسماك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fr-FR" w:bidi="ar-TN"/>
        </w:rPr>
        <w:t xml:space="preserve">ببعض المناطق من خليج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fr-FR" w:bidi="ar-TN"/>
        </w:rPr>
        <w:t>المنستير</w:t>
      </w:r>
      <w:proofErr w:type="spellEnd"/>
    </w:p>
    <w:p w:rsidR="0061057A" w:rsidRPr="00042945" w:rsidRDefault="0061057A" w:rsidP="0061057A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rtl/>
          <w:lang w:eastAsia="fr-FR" w:bidi="ar-TN"/>
        </w:rPr>
      </w:pPr>
    </w:p>
    <w:p w:rsidR="00201AF5" w:rsidRDefault="0061057A" w:rsidP="00201AF5">
      <w:pPr>
        <w:bidi/>
        <w:spacing w:line="264" w:lineRule="auto"/>
        <w:ind w:firstLine="708"/>
        <w:jc w:val="both"/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</w:pP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على إثر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="003B5A3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معلومات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 w:rsidR="00E243C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جهوية</w:t>
      </w:r>
      <w:proofErr w:type="spellEnd"/>
      <w:r w:rsidR="00E243C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بتاريخ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11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/09/201</w:t>
      </w:r>
      <w:r w:rsidR="00D92D9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4 </w:t>
      </w:r>
      <w:r w:rsidR="003B5A3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تعلقت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بوج</w:t>
      </w:r>
      <w:r w:rsidR="00D92D9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ود العديد من الأسماك الميتة ب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سواحل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لمطة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قام فريق علمي من المعهد الوطني لعلوم وتكنولوجيا البحار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خلال أيام 11 و 12و 13 و 14 سبتمبر بمعاينة كل المنطقة 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لمعرفة الأسباب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التي أدت إلى هذه الظاهرة كما وقع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رفع عينات من الماء</w:t>
      </w:r>
      <w:r w:rsidR="00D92D9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من عدة نق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</w:t>
      </w:r>
      <w:r w:rsidR="00D92D9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ط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قصد التحليل الكيميائي والجرثومي بمخابر المعهد</w:t>
      </w:r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(أنظر الخارطة المصاحبة</w:t>
      </w:r>
      <w:proofErr w:type="spellStart"/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)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="0025409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وتم </w:t>
      </w:r>
      <w:proofErr w:type="spellStart"/>
      <w:r w:rsidR="003B5A3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إستقصاء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="003B5A3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معلومات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عن هذا الوضع مع عديد الأطراف وخاصة البحارة الموجودين على عين المكان 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</w:t>
      </w:r>
    </w:p>
    <w:p w:rsidR="0061057A" w:rsidRDefault="00201AF5" w:rsidP="00201AF5">
      <w:pPr>
        <w:bidi/>
        <w:spacing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وي</w:t>
      </w:r>
      <w:r w:rsidR="0061057A"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ذكر بأن </w:t>
      </w:r>
      <w:r w:rsidR="00E243C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السواحل البحرية</w:t>
      </w:r>
      <w:r w:rsidR="0061057A"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بولاية </w:t>
      </w:r>
      <w:proofErr w:type="spellStart"/>
      <w:r w:rsidR="0061057A"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المنستير</w:t>
      </w:r>
      <w:proofErr w:type="spellEnd"/>
      <w:r w:rsidR="0061057A"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تخضع منذ عقدين إلى عدة ضغوطات بيئية متمثلة أساسا في إلقاء مياه الصرف الصحي المعالج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ة و غير المعالجة</w:t>
      </w:r>
      <w:r w:rsidR="0061057A"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,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عمليات ردم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عشوائية،</w:t>
      </w:r>
      <w:proofErr w:type="spellEnd"/>
      <w:r w:rsidR="0061057A"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إلقاء لبعض الفضلات المنزلية وغيرها.... </w:t>
      </w:r>
    </w:p>
    <w:p w:rsidR="0061057A" w:rsidRDefault="0061057A" w:rsidP="00921659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كما أن البحر المتاخم لهذا الشريط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وصل إلى مرحلة لم تعد تسمح بتقبل النفايات</w:t>
      </w:r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بأنواعها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بسبب </w:t>
      </w:r>
      <w:proofErr w:type="spellStart"/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الإختلال</w:t>
      </w:r>
      <w:proofErr w:type="spellEnd"/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المشط</w:t>
      </w:r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في التوازن البيئي (</w:t>
      </w:r>
      <w:proofErr w:type="spellStart"/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إنعدام</w:t>
      </w:r>
      <w:proofErr w:type="spellEnd"/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لبيئة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حاضنة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قادرة على معالجة الكميات الهائلة من المواد العضوية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,</w:t>
      </w:r>
      <w:proofErr w:type="spellEnd"/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إندثارل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لأعشاب</w:t>
      </w:r>
      <w:proofErr w:type="spellEnd"/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البحرية </w:t>
      </w:r>
      <w:proofErr w:type="spellStart"/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إلخ</w:t>
      </w:r>
      <w:proofErr w:type="spellEnd"/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...</w:t>
      </w:r>
      <w:proofErr w:type="spellStart"/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).</w:t>
      </w:r>
      <w:proofErr w:type="spellEnd"/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</w:p>
    <w:p w:rsidR="00435F40" w:rsidRPr="00435F40" w:rsidRDefault="00435F40" w:rsidP="00435F40">
      <w:pPr>
        <w:bidi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eastAsia="fr-FR" w:bidi="ar-TN"/>
        </w:rPr>
      </w:pPr>
      <w:r w:rsidRPr="00435F40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>خارطة تبين أماكن أخذ عينات الماء</w:t>
      </w:r>
    </w:p>
    <w:p w:rsidR="00435F40" w:rsidRPr="00760E7A" w:rsidRDefault="00435F40" w:rsidP="00435F40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 w:rsidRPr="00435F4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eastAsia="fr-FR"/>
        </w:rPr>
        <w:drawing>
          <wp:inline distT="0" distB="0" distL="0" distR="0">
            <wp:extent cx="5760720" cy="3274599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D3F" w:rsidRDefault="0061057A" w:rsidP="00144D3F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بينت المعاينة الميدانية وجود أسماك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وقشريات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ميتة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بكميات متفاوتة 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على الساحل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(صورة رقم 1)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وخاصة بجانب ميناء قصبية ك</w:t>
      </w:r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ما لاحظنا تغيرا للون مياه البحر الت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ي مال</w:t>
      </w:r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ت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إلى البياض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  <w:t>(Aspect laiteux)</w:t>
      </w:r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(صورة رقم 2 </w:t>
      </w:r>
      <w:proofErr w:type="spellStart"/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و3)</w:t>
      </w:r>
      <w:proofErr w:type="spellEnd"/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والت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ي لوحظ</w:t>
      </w:r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ت في عرض البحر (على قرابة الخمس مئة متر من الساحل)</w:t>
      </w:r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. كما أن ظاهرة المياه البيضاء 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تواصلت</w:t>
      </w:r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عدة أيام </w:t>
      </w:r>
      <w:proofErr w:type="spellStart"/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متازمنة</w:t>
      </w:r>
      <w:proofErr w:type="spellEnd"/>
      <w:r w:rsidR="0014253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مع حركة المد.</w:t>
      </w:r>
    </w:p>
    <w:p w:rsidR="0061057A" w:rsidRDefault="00142537" w:rsidP="00201AF5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وقد 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لوحظت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هذه المياه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إبتداء</w:t>
      </w:r>
      <w:proofErr w:type="spellEnd"/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من سواحل </w:t>
      </w:r>
      <w:proofErr w:type="spellStart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خنيس</w:t>
      </w:r>
      <w:proofErr w:type="spellEnd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(من أمام </w:t>
      </w:r>
      <w:proofErr w:type="spellStart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المسلخ</w:t>
      </w:r>
      <w:proofErr w:type="spellEnd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الب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لدي</w:t>
      </w:r>
      <w:proofErr w:type="spellStart"/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)</w:t>
      </w:r>
      <w:proofErr w:type="spellEnd"/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إلى حدود معهد صيادة و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رافقت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ها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إنبعاث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ات</w:t>
      </w:r>
      <w:proofErr w:type="spellEnd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لغازات كريهة كغاز كبريت الهيدروجين </w:t>
      </w:r>
      <w:r w:rsidR="0061057A"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  <w:t>(H</w:t>
      </w:r>
      <w:r w:rsidR="0061057A" w:rsidRPr="008F00FD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  <w:lang w:eastAsia="fr-FR" w:bidi="ar-TN"/>
        </w:rPr>
        <w:t>2</w:t>
      </w:r>
      <w:r w:rsidR="0061057A"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  <w:t>S)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. </w:t>
      </w:r>
      <w:r w:rsidR="00201AF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وفي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هذا الصدد </w:t>
      </w:r>
      <w:r w:rsidR="00201AF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فقد عبر 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العديد من البحارة عن </w:t>
      </w:r>
      <w:proofErr w:type="spellStart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إستيائهم</w:t>
      </w:r>
      <w:proofErr w:type="spellEnd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من التدهور البيئي الحاصل بالجهة وعلى التكرار الدوري لنفوق الأسماك وأفادوا بوجود العديد من الأسماك الميتة داخل البحر .</w:t>
      </w:r>
    </w:p>
    <w:p w:rsidR="00142537" w:rsidRPr="00921659" w:rsidRDefault="00142537" w:rsidP="00142537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eastAsia="fr-FR" w:bidi="ar-TN"/>
        </w:rPr>
      </w:pPr>
      <w:r w:rsidRPr="00921659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lastRenderedPageBreak/>
        <w:t xml:space="preserve">نتائج التحاليل </w:t>
      </w:r>
      <w:proofErr w:type="spellStart"/>
      <w:r w:rsidRPr="00921659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>المخبرية</w:t>
      </w:r>
      <w:proofErr w:type="spellEnd"/>
    </w:p>
    <w:p w:rsidR="00142537" w:rsidRPr="00144D3F" w:rsidRDefault="0065483B" w:rsidP="00142537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eastAsia="fr-FR" w:bidi="ar-TN"/>
        </w:rPr>
      </w:pPr>
      <w:proofErr w:type="gramStart"/>
      <w:r w:rsidRPr="00144D3F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>التحاليل</w:t>
      </w:r>
      <w:proofErr w:type="gramEnd"/>
      <w:r w:rsidRPr="00144D3F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 xml:space="preserve"> الكيميائية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>:</w:t>
      </w:r>
    </w:p>
    <w:p w:rsidR="0065483B" w:rsidRDefault="0065483B" w:rsidP="0065483B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جدول رقم 1 التحاليل الكيميائية</w:t>
      </w:r>
    </w:p>
    <w:tbl>
      <w:tblPr>
        <w:tblStyle w:val="Grilledutableau"/>
        <w:bidiVisual/>
        <w:tblW w:w="0" w:type="auto"/>
        <w:tblLook w:val="04A0"/>
      </w:tblPr>
      <w:tblGrid>
        <w:gridCol w:w="1213"/>
        <w:gridCol w:w="1221"/>
        <w:gridCol w:w="1295"/>
        <w:gridCol w:w="1158"/>
        <w:gridCol w:w="1233"/>
        <w:gridCol w:w="942"/>
        <w:gridCol w:w="942"/>
        <w:gridCol w:w="1284"/>
      </w:tblGrid>
      <w:tr w:rsidR="0065483B" w:rsidTr="0065483B">
        <w:tc>
          <w:tcPr>
            <w:tcW w:w="1213" w:type="dxa"/>
          </w:tcPr>
          <w:p w:rsidR="0065483B" w:rsidRDefault="0065483B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المحطة</w:t>
            </w:r>
            <w:proofErr w:type="gramEnd"/>
          </w:p>
        </w:tc>
        <w:tc>
          <w:tcPr>
            <w:tcW w:w="1221" w:type="dxa"/>
          </w:tcPr>
          <w:p w:rsidR="0065483B" w:rsidRDefault="0065483B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درجة الحرارة</w:t>
            </w:r>
          </w:p>
        </w:tc>
        <w:tc>
          <w:tcPr>
            <w:tcW w:w="1295" w:type="dxa"/>
          </w:tcPr>
          <w:p w:rsidR="0065483B" w:rsidRDefault="0065483B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درجة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 الحموضة</w:t>
            </w:r>
          </w:p>
        </w:tc>
        <w:tc>
          <w:tcPr>
            <w:tcW w:w="1158" w:type="dxa"/>
          </w:tcPr>
          <w:p w:rsidR="0065483B" w:rsidRDefault="0065483B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 w:bidi="ar-TN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درجة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 التكدر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 w:bidi="ar-TN"/>
              </w:rPr>
              <w:t>(NTU)</w:t>
            </w:r>
          </w:p>
        </w:tc>
        <w:tc>
          <w:tcPr>
            <w:tcW w:w="1233" w:type="dxa"/>
          </w:tcPr>
          <w:p w:rsidR="0065483B" w:rsidRDefault="0065483B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درجة الملوحة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  <w:t>‰</w:t>
            </w:r>
          </w:p>
        </w:tc>
        <w:tc>
          <w:tcPr>
            <w:tcW w:w="942" w:type="dxa"/>
          </w:tcPr>
          <w:p w:rsidR="0065483B" w:rsidRDefault="0065483B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الفسفور</w:t>
            </w:r>
            <w:proofErr w:type="gramEnd"/>
          </w:p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مغ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 في اللتر</w:t>
            </w:r>
          </w:p>
        </w:tc>
        <w:tc>
          <w:tcPr>
            <w:tcW w:w="942" w:type="dxa"/>
          </w:tcPr>
          <w:p w:rsidR="0065483B" w:rsidRDefault="0065483B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النيتريت</w:t>
            </w:r>
            <w:proofErr w:type="spellEnd"/>
          </w:p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مغ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 في اللتر 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الأزوت</w:t>
            </w:r>
            <w:proofErr w:type="spellEnd"/>
          </w:p>
        </w:tc>
        <w:tc>
          <w:tcPr>
            <w:tcW w:w="1284" w:type="dxa"/>
          </w:tcPr>
          <w:p w:rsidR="0065483B" w:rsidRDefault="0065483B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مركبات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الأمونيوم</w:t>
            </w:r>
            <w:proofErr w:type="spellEnd"/>
          </w:p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مغ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 في اللتر 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الأزوت</w:t>
            </w:r>
            <w:proofErr w:type="spellEnd"/>
          </w:p>
        </w:tc>
      </w:tr>
      <w:tr w:rsidR="00E243CA" w:rsidTr="005956DC">
        <w:tc>
          <w:tcPr>
            <w:tcW w:w="1213" w:type="dxa"/>
          </w:tcPr>
          <w:p w:rsidR="00E243CA" w:rsidRDefault="00E243CA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1</w:t>
            </w:r>
          </w:p>
        </w:tc>
        <w:tc>
          <w:tcPr>
            <w:tcW w:w="1221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30.9</w:t>
            </w:r>
          </w:p>
        </w:tc>
        <w:tc>
          <w:tcPr>
            <w:tcW w:w="1295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8.55</w:t>
            </w:r>
          </w:p>
        </w:tc>
        <w:tc>
          <w:tcPr>
            <w:tcW w:w="1158" w:type="dxa"/>
          </w:tcPr>
          <w:p w:rsidR="00E243CA" w:rsidRPr="00D870C5" w:rsidRDefault="00E243CA" w:rsidP="00DE2F26">
            <w:pPr>
              <w:spacing w:line="288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5.5</w:t>
            </w:r>
          </w:p>
        </w:tc>
        <w:tc>
          <w:tcPr>
            <w:tcW w:w="1233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39.3</w:t>
            </w:r>
          </w:p>
        </w:tc>
        <w:tc>
          <w:tcPr>
            <w:tcW w:w="942" w:type="dxa"/>
          </w:tcPr>
          <w:p w:rsidR="00E243CA" w:rsidRDefault="00E243CA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0</w:t>
            </w:r>
          </w:p>
        </w:tc>
        <w:tc>
          <w:tcPr>
            <w:tcW w:w="942" w:type="dxa"/>
            <w:vAlign w:val="bottom"/>
          </w:tcPr>
          <w:p w:rsidR="00E243CA" w:rsidRPr="00FC4B70" w:rsidRDefault="00E243CA" w:rsidP="00201AF5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C4B70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proofErr w:type="spellStart"/>
            <w:r w:rsidR="00201AF5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  <w:proofErr w:type="spellEnd"/>
            <w:r w:rsidRPr="00FC4B70">
              <w:rPr>
                <w:rFonts w:asciiTheme="majorBidi" w:hAnsiTheme="majorBidi" w:cstheme="majorBidi"/>
                <w:sz w:val="26"/>
                <w:szCs w:val="26"/>
              </w:rPr>
              <w:t>022</w:t>
            </w:r>
          </w:p>
        </w:tc>
        <w:tc>
          <w:tcPr>
            <w:tcW w:w="1284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</w:tr>
      <w:tr w:rsidR="00E243CA" w:rsidTr="005956DC">
        <w:tc>
          <w:tcPr>
            <w:tcW w:w="1213" w:type="dxa"/>
          </w:tcPr>
          <w:p w:rsidR="00E243CA" w:rsidRDefault="00E243CA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2</w:t>
            </w:r>
          </w:p>
        </w:tc>
        <w:tc>
          <w:tcPr>
            <w:tcW w:w="1221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33.2</w:t>
            </w:r>
          </w:p>
        </w:tc>
        <w:tc>
          <w:tcPr>
            <w:tcW w:w="1295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8.91</w:t>
            </w:r>
          </w:p>
        </w:tc>
        <w:tc>
          <w:tcPr>
            <w:tcW w:w="1158" w:type="dxa"/>
          </w:tcPr>
          <w:p w:rsidR="00E243CA" w:rsidRPr="00D870C5" w:rsidRDefault="00E243CA" w:rsidP="00DE2F26">
            <w:pPr>
              <w:spacing w:line="288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22.8</w:t>
            </w:r>
          </w:p>
        </w:tc>
        <w:tc>
          <w:tcPr>
            <w:tcW w:w="1233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39.4</w:t>
            </w:r>
          </w:p>
        </w:tc>
        <w:tc>
          <w:tcPr>
            <w:tcW w:w="942" w:type="dxa"/>
          </w:tcPr>
          <w:p w:rsidR="00E243CA" w:rsidRDefault="00E243CA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0</w:t>
            </w:r>
          </w:p>
        </w:tc>
        <w:tc>
          <w:tcPr>
            <w:tcW w:w="942" w:type="dxa"/>
            <w:vAlign w:val="bottom"/>
          </w:tcPr>
          <w:p w:rsidR="00E243CA" w:rsidRPr="00FC4B70" w:rsidRDefault="00E243CA" w:rsidP="00201AF5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C4B70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proofErr w:type="spellStart"/>
            <w:r w:rsidR="00201AF5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  <w:proofErr w:type="spellEnd"/>
            <w:r w:rsidRPr="00FC4B70">
              <w:rPr>
                <w:rFonts w:asciiTheme="majorBidi" w:hAnsiTheme="majorBidi" w:cstheme="majorBidi"/>
                <w:sz w:val="26"/>
                <w:szCs w:val="26"/>
              </w:rPr>
              <w:t>035</w:t>
            </w:r>
          </w:p>
        </w:tc>
        <w:tc>
          <w:tcPr>
            <w:tcW w:w="1284" w:type="dxa"/>
            <w:vAlign w:val="bottom"/>
          </w:tcPr>
          <w:p w:rsidR="00E243CA" w:rsidRPr="0065483B" w:rsidRDefault="00E243CA" w:rsidP="00201AF5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5483B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proofErr w:type="spellStart"/>
            <w:r w:rsidR="00201AF5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  <w:proofErr w:type="spellEnd"/>
            <w:r w:rsidRPr="0065483B">
              <w:rPr>
                <w:rFonts w:asciiTheme="majorBidi" w:hAnsiTheme="majorBidi" w:cstheme="majorBidi"/>
                <w:sz w:val="26"/>
                <w:szCs w:val="26"/>
              </w:rPr>
              <w:t>420</w:t>
            </w:r>
          </w:p>
        </w:tc>
      </w:tr>
      <w:tr w:rsidR="00E243CA" w:rsidTr="005956DC">
        <w:tc>
          <w:tcPr>
            <w:tcW w:w="1213" w:type="dxa"/>
          </w:tcPr>
          <w:p w:rsidR="00E243CA" w:rsidRDefault="00E243CA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3</w:t>
            </w:r>
          </w:p>
        </w:tc>
        <w:tc>
          <w:tcPr>
            <w:tcW w:w="1221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30.2</w:t>
            </w:r>
          </w:p>
        </w:tc>
        <w:tc>
          <w:tcPr>
            <w:tcW w:w="1295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8.15</w:t>
            </w:r>
          </w:p>
        </w:tc>
        <w:tc>
          <w:tcPr>
            <w:tcW w:w="1158" w:type="dxa"/>
          </w:tcPr>
          <w:p w:rsidR="00E243CA" w:rsidRPr="00D870C5" w:rsidRDefault="00E243CA" w:rsidP="00DE2F26">
            <w:pPr>
              <w:spacing w:line="288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12.98</w:t>
            </w:r>
          </w:p>
        </w:tc>
        <w:tc>
          <w:tcPr>
            <w:tcW w:w="1233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39.1</w:t>
            </w:r>
          </w:p>
        </w:tc>
        <w:tc>
          <w:tcPr>
            <w:tcW w:w="942" w:type="dxa"/>
          </w:tcPr>
          <w:p w:rsidR="00E243CA" w:rsidRDefault="00E243CA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0</w:t>
            </w:r>
          </w:p>
        </w:tc>
        <w:tc>
          <w:tcPr>
            <w:tcW w:w="942" w:type="dxa"/>
            <w:vAlign w:val="bottom"/>
          </w:tcPr>
          <w:p w:rsidR="00E243CA" w:rsidRPr="00FC4B70" w:rsidRDefault="00E243CA" w:rsidP="00201AF5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C4B70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proofErr w:type="spellStart"/>
            <w:r w:rsidR="00201AF5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  <w:proofErr w:type="spellEnd"/>
            <w:r w:rsidRPr="00FC4B70">
              <w:rPr>
                <w:rFonts w:asciiTheme="majorBidi" w:hAnsiTheme="majorBidi" w:cstheme="majorBidi"/>
                <w:sz w:val="26"/>
                <w:szCs w:val="26"/>
              </w:rPr>
              <w:t>029</w:t>
            </w:r>
          </w:p>
        </w:tc>
        <w:tc>
          <w:tcPr>
            <w:tcW w:w="1284" w:type="dxa"/>
            <w:vAlign w:val="bottom"/>
          </w:tcPr>
          <w:p w:rsidR="00E243CA" w:rsidRPr="0065483B" w:rsidRDefault="00E243CA" w:rsidP="00201AF5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5483B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proofErr w:type="spellStart"/>
            <w:r w:rsidR="00201AF5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  <w:proofErr w:type="spellEnd"/>
            <w:r w:rsidRPr="0065483B">
              <w:rPr>
                <w:rFonts w:asciiTheme="majorBidi" w:hAnsiTheme="majorBidi" w:cstheme="majorBidi"/>
                <w:sz w:val="26"/>
                <w:szCs w:val="26"/>
              </w:rPr>
              <w:t>117</w:t>
            </w:r>
          </w:p>
        </w:tc>
      </w:tr>
      <w:tr w:rsidR="00E243CA" w:rsidTr="005956DC">
        <w:tc>
          <w:tcPr>
            <w:tcW w:w="1213" w:type="dxa"/>
          </w:tcPr>
          <w:p w:rsidR="00E243CA" w:rsidRDefault="00E243CA" w:rsidP="00142537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4</w:t>
            </w:r>
          </w:p>
        </w:tc>
        <w:tc>
          <w:tcPr>
            <w:tcW w:w="1221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31.2</w:t>
            </w:r>
          </w:p>
        </w:tc>
        <w:tc>
          <w:tcPr>
            <w:tcW w:w="1295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8.56</w:t>
            </w:r>
          </w:p>
        </w:tc>
        <w:tc>
          <w:tcPr>
            <w:tcW w:w="1158" w:type="dxa"/>
          </w:tcPr>
          <w:p w:rsidR="00E243CA" w:rsidRPr="00D870C5" w:rsidRDefault="00E243CA" w:rsidP="00DE2F26">
            <w:pPr>
              <w:spacing w:line="288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10.7</w:t>
            </w:r>
          </w:p>
        </w:tc>
        <w:tc>
          <w:tcPr>
            <w:tcW w:w="1233" w:type="dxa"/>
          </w:tcPr>
          <w:p w:rsidR="00E243CA" w:rsidRPr="00D870C5" w:rsidRDefault="00E243CA" w:rsidP="0065483B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D870C5">
              <w:rPr>
                <w:rFonts w:asciiTheme="majorBidi" w:hAnsiTheme="majorBidi" w:cstheme="majorBidi"/>
                <w:sz w:val="26"/>
                <w:szCs w:val="26"/>
              </w:rPr>
              <w:t>37.8</w:t>
            </w:r>
          </w:p>
        </w:tc>
        <w:tc>
          <w:tcPr>
            <w:tcW w:w="942" w:type="dxa"/>
          </w:tcPr>
          <w:p w:rsidR="00E243CA" w:rsidRDefault="00E243CA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0</w:t>
            </w:r>
          </w:p>
        </w:tc>
        <w:tc>
          <w:tcPr>
            <w:tcW w:w="942" w:type="dxa"/>
            <w:vAlign w:val="bottom"/>
          </w:tcPr>
          <w:p w:rsidR="00E243CA" w:rsidRPr="00FC4B70" w:rsidRDefault="00E243CA" w:rsidP="00201AF5">
            <w:pPr>
              <w:spacing w:line="288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C4B70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proofErr w:type="spellStart"/>
            <w:r w:rsidR="00201AF5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  <w:proofErr w:type="spellEnd"/>
            <w:r w:rsidRPr="00FC4B70">
              <w:rPr>
                <w:rFonts w:asciiTheme="majorBidi" w:hAnsiTheme="majorBidi" w:cstheme="majorBidi"/>
                <w:sz w:val="26"/>
                <w:szCs w:val="26"/>
              </w:rPr>
              <w:t>109</w:t>
            </w:r>
          </w:p>
        </w:tc>
        <w:tc>
          <w:tcPr>
            <w:tcW w:w="1284" w:type="dxa"/>
            <w:vAlign w:val="bottom"/>
          </w:tcPr>
          <w:p w:rsidR="00E243CA" w:rsidRPr="0065483B" w:rsidRDefault="00E243CA" w:rsidP="00201AF5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5483B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proofErr w:type="spellStart"/>
            <w:r w:rsidR="00201AF5"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  <w:proofErr w:type="spellEnd"/>
            <w:r w:rsidRPr="0065483B">
              <w:rPr>
                <w:rFonts w:asciiTheme="majorBidi" w:hAnsiTheme="majorBidi" w:cstheme="majorBidi"/>
                <w:sz w:val="26"/>
                <w:szCs w:val="26"/>
              </w:rPr>
              <w:t>485</w:t>
            </w:r>
          </w:p>
        </w:tc>
      </w:tr>
    </w:tbl>
    <w:p w:rsidR="00142537" w:rsidRDefault="00142537" w:rsidP="00142537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</w:p>
    <w:p w:rsidR="002805D7" w:rsidRDefault="002805D7" w:rsidP="00061014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بينت التحاليل</w:t>
      </w:r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الفيزيوكيميائية</w:t>
      </w:r>
      <w:proofErr w:type="spellEnd"/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المتحصل عليها (جدول 1</w:t>
      </w:r>
      <w:proofErr w:type="spellStart"/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)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مايلي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:</w:t>
      </w:r>
    </w:p>
    <w:p w:rsidR="002805D7" w:rsidRDefault="002805D7" w:rsidP="002805D7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حرارة مياه مرتفعة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نسبيا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التي تميز الأماكن قليلة العمق</w:t>
      </w:r>
      <w:r w:rsidR="00E243C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في حين أن المعدل العادي هو قي حدود 28.5 </w:t>
      </w:r>
      <w:proofErr w:type="gramStart"/>
      <w:r w:rsidR="00E243C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درجة</w:t>
      </w:r>
      <w:proofErr w:type="gramEnd"/>
    </w:p>
    <w:p w:rsidR="002805D7" w:rsidRDefault="002805D7" w:rsidP="002805D7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إرتفاع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درجة تكدر المياه</w:t>
      </w:r>
      <w:r w:rsidR="00E243C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="00E243CA"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  <w:t>(Turbidité)</w:t>
      </w:r>
    </w:p>
    <w:p w:rsidR="0065483B" w:rsidRDefault="002805D7" w:rsidP="00144D3F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وجود كميات 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هامة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من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الأمونيوم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والنيتريت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في جل المحطات مما</w:t>
      </w:r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يدل على </w:t>
      </w:r>
      <w:proofErr w:type="spellStart"/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إض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طراب</w:t>
      </w:r>
      <w:proofErr w:type="spellEnd"/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في دورة </w:t>
      </w:r>
      <w:proofErr w:type="spellStart"/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الأزوت</w:t>
      </w:r>
      <w:proofErr w:type="spellEnd"/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نتيجة عدم وجود </w:t>
      </w:r>
      <w:proofErr w:type="spellStart"/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الأوكسيجين</w:t>
      </w:r>
      <w:proofErr w:type="spellEnd"/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كليا أو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بكميات كافية</w:t>
      </w:r>
      <w:r w:rsidR="00E243CA">
        <w:rPr>
          <w:rFonts w:ascii="Times New Roman" w:eastAsia="Times New Roman" w:hAnsi="Times New Roman" w:cs="Times New Roman" w:hint="cs"/>
          <w:b/>
          <w:bCs/>
          <w:sz w:val="26"/>
          <w:szCs w:val="26"/>
          <w:lang w:eastAsia="fr-FR" w:bidi="ar-TN"/>
        </w:rPr>
        <w:t>.</w:t>
      </w:r>
    </w:p>
    <w:p w:rsidR="00061014" w:rsidRPr="00144D3F" w:rsidRDefault="0065483B" w:rsidP="0065483B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eastAsia="fr-FR" w:bidi="ar-TN"/>
        </w:rPr>
      </w:pPr>
      <w:proofErr w:type="gramStart"/>
      <w:r w:rsidRPr="00144D3F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>التحاليل</w:t>
      </w:r>
      <w:proofErr w:type="gramEnd"/>
      <w:r w:rsidRPr="00144D3F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 xml:space="preserve"> الجرثومية</w:t>
      </w:r>
      <w:r w:rsidR="00061014" w:rsidRPr="00144D3F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>:</w:t>
      </w:r>
    </w:p>
    <w:p w:rsidR="0065483B" w:rsidRDefault="00061014" w:rsidP="00061014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 w:rsidRP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بينت التحاليل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البكتريولوجية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(جدول 2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)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مايلي</w:t>
      </w:r>
      <w:proofErr w:type="spellEnd"/>
    </w:p>
    <w:p w:rsidR="00061014" w:rsidRDefault="00061014" w:rsidP="00921659">
      <w:p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وجود نسبة مرتفعة من الجراثيم مما يدل على </w:t>
      </w:r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تواجد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المواد العضوية التي تتطلبها البكتيريا للنمو بقدر كافي في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مياه البحر </w:t>
      </w:r>
    </w:p>
    <w:p w:rsidR="0065483B" w:rsidRPr="00E243CA" w:rsidRDefault="0065483B" w:rsidP="00E243CA">
      <w:pPr>
        <w:bidi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eastAsia="fr-FR" w:bidi="ar-TN"/>
        </w:rPr>
      </w:pPr>
      <w:r w:rsidRPr="00E243CA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 xml:space="preserve">جدول رقم </w:t>
      </w:r>
      <w:r w:rsidR="00061014" w:rsidRPr="00E243CA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>2</w:t>
      </w:r>
      <w:r w:rsidRPr="00E243CA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 xml:space="preserve"> التحاليل </w:t>
      </w:r>
      <w:proofErr w:type="spellStart"/>
      <w:r w:rsidRPr="00E243CA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eastAsia="fr-FR" w:bidi="ar-TN"/>
        </w:rPr>
        <w:t>البكتريولوجية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5483B" w:rsidTr="0065483B">
        <w:tc>
          <w:tcPr>
            <w:tcW w:w="2303" w:type="dxa"/>
          </w:tcPr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المحطة</w:t>
            </w:r>
            <w:proofErr w:type="gramEnd"/>
          </w:p>
        </w:tc>
        <w:tc>
          <w:tcPr>
            <w:tcW w:w="2303" w:type="dxa"/>
          </w:tcPr>
          <w:p w:rsidR="0065483B" w:rsidRDefault="0065483B" w:rsidP="00D73753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الجراثيم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الكلية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 القادرة على النمو في وسط يفتقر للملح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(</w:t>
            </w:r>
            <w:proofErr w:type="spellEnd"/>
            <w:r w:rsidR="00D737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 w:bidi="ar-TN"/>
              </w:rPr>
              <w:t>U.FC/ml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)</w:t>
            </w:r>
            <w:proofErr w:type="spellEnd"/>
          </w:p>
        </w:tc>
        <w:tc>
          <w:tcPr>
            <w:tcW w:w="2303" w:type="dxa"/>
          </w:tcPr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الجراثيم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الكلية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 القادرة على النمو في وسط يحتوي على الملح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(</w:t>
            </w:r>
            <w:proofErr w:type="spellEnd"/>
            <w:r w:rsidR="00D737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 w:bidi="ar-TN"/>
              </w:rPr>
              <w:t>U.FC/ml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)</w:t>
            </w:r>
            <w:proofErr w:type="spellEnd"/>
          </w:p>
        </w:tc>
        <w:tc>
          <w:tcPr>
            <w:tcW w:w="2303" w:type="dxa"/>
          </w:tcPr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الضمات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(</w:t>
            </w:r>
            <w:proofErr w:type="spellEnd"/>
            <w:r w:rsidR="00D737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fr-FR" w:bidi="ar-TN"/>
              </w:rPr>
              <w:t>U.FC/ml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)</w:t>
            </w:r>
            <w:proofErr w:type="spellEnd"/>
          </w:p>
        </w:tc>
      </w:tr>
      <w:tr w:rsidR="0065483B" w:rsidTr="0065483B">
        <w:tc>
          <w:tcPr>
            <w:tcW w:w="2303" w:type="dxa"/>
          </w:tcPr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1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2870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2080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90</w:t>
            </w:r>
          </w:p>
        </w:tc>
      </w:tr>
      <w:tr w:rsidR="0065483B" w:rsidTr="0065483B">
        <w:tc>
          <w:tcPr>
            <w:tcW w:w="2303" w:type="dxa"/>
          </w:tcPr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2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6960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5480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330</w:t>
            </w:r>
          </w:p>
        </w:tc>
      </w:tr>
      <w:tr w:rsidR="0065483B" w:rsidTr="0065483B">
        <w:tc>
          <w:tcPr>
            <w:tcW w:w="2303" w:type="dxa"/>
          </w:tcPr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3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65483B" w:rsidTr="0065483B">
        <w:tc>
          <w:tcPr>
            <w:tcW w:w="2303" w:type="dxa"/>
          </w:tcPr>
          <w:p w:rsidR="0065483B" w:rsidRDefault="0065483B" w:rsidP="0065483B">
            <w:pPr>
              <w:bidi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fr-FR" w:bidi="ar-TN"/>
              </w:rPr>
              <w:t>4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2360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4030</w:t>
            </w:r>
          </w:p>
        </w:tc>
        <w:tc>
          <w:tcPr>
            <w:tcW w:w="2303" w:type="dxa"/>
          </w:tcPr>
          <w:p w:rsidR="0065483B" w:rsidRPr="00EF41E9" w:rsidRDefault="0065483B" w:rsidP="00DE7401">
            <w:pPr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1850</w:t>
            </w:r>
          </w:p>
        </w:tc>
      </w:tr>
    </w:tbl>
    <w:p w:rsidR="0061057A" w:rsidRDefault="0061057A" w:rsidP="0061057A">
      <w:pPr>
        <w:bidi/>
        <w:spacing w:line="264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fr-FR" w:bidi="ar-TN"/>
        </w:rPr>
      </w:pPr>
    </w:p>
    <w:p w:rsidR="00201AF5" w:rsidRDefault="00201AF5" w:rsidP="00201AF5">
      <w:pPr>
        <w:bidi/>
        <w:spacing w:line="264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</w:pPr>
    </w:p>
    <w:p w:rsidR="00D73753" w:rsidRDefault="0061057A" w:rsidP="00201AF5">
      <w:pPr>
        <w:bidi/>
        <w:spacing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lastRenderedPageBreak/>
        <w:t>استنادا إلى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المعاينة و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التحاليل الأولية</w:t>
      </w:r>
      <w:r w:rsidRPr="00760E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فإنه من المرجح أن يكون سبب النفوق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هو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الإنعدام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الكلي للأوكسجين مما ينتج عنه تشكل </w:t>
      </w:r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ظاهرة الميا</w:t>
      </w:r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ه البيضاء والتي تتأتى</w:t>
      </w:r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عند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التحول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اللاهوائي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للمواد العضوية مما يكسب الماء اللون الأبيض. وتحدث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هذه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الظاهرة عند تلاقي ظروف ملائمة </w:t>
      </w:r>
      <w:r w:rsidRPr="00D76F4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مثل</w:t>
      </w:r>
      <w:r w:rsid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:</w:t>
      </w:r>
    </w:p>
    <w:p w:rsidR="0061057A" w:rsidRPr="00D73753" w:rsidRDefault="0061057A" w:rsidP="00D73753">
      <w:pPr>
        <w:pStyle w:val="Paragraphedeliste"/>
        <w:numPr>
          <w:ilvl w:val="0"/>
          <w:numId w:val="3"/>
        </w:numPr>
        <w:bidi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</w:pPr>
      <w:r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وجود أماكن قليلة العمق</w:t>
      </w:r>
      <w:r w:rsidR="00061014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 w:rsidR="00061014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وهوالحال</w:t>
      </w:r>
      <w:proofErr w:type="spellEnd"/>
      <w:r w:rsidR="00061014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بالمنطقة</w:t>
      </w:r>
      <w:r w:rsidR="009C1A3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</w:t>
      </w:r>
    </w:p>
    <w:p w:rsidR="0061057A" w:rsidRPr="00D73753" w:rsidRDefault="00061014" w:rsidP="00D73753">
      <w:pPr>
        <w:pStyle w:val="Paragraphedeliste"/>
        <w:numPr>
          <w:ilvl w:val="0"/>
          <w:numId w:val="3"/>
        </w:numPr>
        <w:bidi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وجود </w:t>
      </w:r>
      <w:r w:rsidR="0061057A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كميات</w:t>
      </w:r>
      <w:r w:rsidR="0061057A"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r w:rsidR="0061057A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كبيرة</w:t>
      </w:r>
      <w:r w:rsidR="0061057A"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r w:rsidR="0061057A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من</w:t>
      </w:r>
      <w:r w:rsidR="0061057A"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r w:rsidR="0061057A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المواد</w:t>
      </w:r>
      <w:r w:rsidR="0061057A"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r w:rsidR="0061057A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العضوية</w:t>
      </w:r>
      <w:r w:rsidR="0061057A"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r w:rsidR="0061057A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في</w:t>
      </w:r>
      <w:r w:rsidR="0061057A"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r w:rsidR="0061057A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المياه</w:t>
      </w:r>
      <w:r w:rsidR="0061057A"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r w:rsidR="0061057A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والرواسب</w:t>
      </w:r>
      <w:r w:rsidR="009C1A3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</w:t>
      </w:r>
    </w:p>
    <w:p w:rsidR="0061057A" w:rsidRPr="00D73753" w:rsidRDefault="0061057A" w:rsidP="00D73753">
      <w:pPr>
        <w:pStyle w:val="Paragraphedeliste"/>
        <w:numPr>
          <w:ilvl w:val="0"/>
          <w:numId w:val="3"/>
        </w:numPr>
        <w:bidi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</w:pPr>
      <w:r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درجات</w:t>
      </w:r>
      <w:r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r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حرارة</w:t>
      </w:r>
      <w:r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r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مرتفعة</w:t>
      </w:r>
      <w:r w:rsidR="009C1A3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</w:t>
      </w:r>
      <w:r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 </w:t>
      </w:r>
    </w:p>
    <w:p w:rsidR="0061057A" w:rsidRPr="00D73753" w:rsidRDefault="009C1A39" w:rsidP="009C1A39">
      <w:pPr>
        <w:pStyle w:val="Paragraphedeliste"/>
        <w:numPr>
          <w:ilvl w:val="0"/>
          <w:numId w:val="3"/>
        </w:numPr>
        <w:bidi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وجود عوامل مناخية ملائمة كقلة الرياح</w:t>
      </w:r>
      <w:r w:rsidR="0061057A"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 w:rsidR="0061057A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،</w:t>
      </w:r>
      <w:proofErr w:type="spellEnd"/>
      <w:r w:rsidR="00061014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وهو وضع ساد خلال الأسابيع الأخيرة بالجهة مما ساهم في ركود المياه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</w:t>
      </w:r>
      <w:r w:rsidR="0061057A" w:rsidRPr="00D7375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 </w:t>
      </w:r>
    </w:p>
    <w:p w:rsidR="0061057A" w:rsidRPr="00D73753" w:rsidRDefault="00873641" w:rsidP="00D73753">
      <w:pPr>
        <w:pStyle w:val="Paragraphedeliste"/>
        <w:numPr>
          <w:ilvl w:val="0"/>
          <w:numId w:val="3"/>
        </w:numPr>
        <w:bidi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عدم وجود نب</w:t>
      </w:r>
      <w:r w:rsidR="00144D3F"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</w:t>
      </w:r>
      <w:r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تات تساهم في تغذية المياه </w:t>
      </w:r>
      <w:proofErr w:type="spellStart"/>
      <w:r w:rsidRP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بالأوكسيجين</w:t>
      </w:r>
      <w:proofErr w:type="spellEnd"/>
      <w:r w:rsidR="009C1A3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</w:t>
      </w:r>
    </w:p>
    <w:p w:rsidR="00144D3F" w:rsidRDefault="00201AF5" w:rsidP="00D73753">
      <w:pPr>
        <w:bidi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و الجدير بالذكر فامن </w:t>
      </w:r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ظاهرة </w:t>
      </w:r>
      <w:r w:rsidR="0087364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نفوق الأسماك والكائنات البحرية </w:t>
      </w:r>
      <w:r w:rsidR="00D7375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تم تسجيلها</w:t>
      </w:r>
      <w:r w:rsidR="0087364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عديد المرات وهو نتيجة </w:t>
      </w:r>
      <w:r w:rsidR="00144D3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ل</w:t>
      </w:r>
      <w:r w:rsidR="0087364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تراكم النفايات الملقاة في البحر</w:t>
      </w:r>
      <w:r w:rsidR="000610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r w:rsidR="0087364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والطبيعة البحرية للمنطقة</w:t>
      </w:r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(قلة التيارات </w:t>
      </w:r>
      <w:proofErr w:type="spellStart"/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إلخ)</w:t>
      </w:r>
      <w:r w:rsidR="0087364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</w:t>
      </w:r>
      <w:proofErr w:type="spellEnd"/>
      <w:r w:rsidR="0087364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وتستوجب هذه الحالة التفكي</w:t>
      </w:r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ر الجدي في تحويل مصبات النفايات المنزلية إلى مكان أخر كإحدى </w:t>
      </w:r>
      <w:proofErr w:type="spellStart"/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السبخ</w:t>
      </w:r>
      <w:proofErr w:type="spellEnd"/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</w:t>
      </w:r>
      <w:proofErr w:type="spellStart"/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أوإستعمالها</w:t>
      </w:r>
      <w:proofErr w:type="spellEnd"/>
      <w:r w:rsidR="0092165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للري. </w:t>
      </w:r>
    </w:p>
    <w:p w:rsidR="000643BA" w:rsidRDefault="00D73753" w:rsidP="00C36AE3">
      <w:pPr>
        <w:bidi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هذا ومما يذكر بأنه تقع حاليا أشغال بالجهة 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في نطاق برنامج </w:t>
      </w:r>
      <w:proofErr w:type="spellStart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إستصلاح</w:t>
      </w:r>
      <w:proofErr w:type="spellEnd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خليج </w:t>
      </w:r>
      <w:proofErr w:type="spellStart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المنستير</w:t>
      </w:r>
      <w:proofErr w:type="spellEnd"/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وحمايته من التلوث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 xml:space="preserve"> تشرف عليه </w:t>
      </w:r>
      <w:r w:rsidR="00C36AE3" w:rsidRPr="00C36AE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  <w:t xml:space="preserve">وكالة حماية و تهيئة الشريط الساحلي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fr-FR" w:bidi="ar-TN"/>
        </w:rPr>
        <w:t>(APAL)</w:t>
      </w:r>
      <w:r w:rsidR="006105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 w:bidi="ar-TN"/>
        </w:rPr>
        <w:t>.</w:t>
      </w:r>
    </w:p>
    <w:p w:rsidR="00A10800" w:rsidRDefault="00A10800" w:rsidP="00A10800">
      <w:pPr>
        <w:bidi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 w:rsidRPr="00A1080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eastAsia="fr-FR"/>
        </w:rPr>
        <w:drawing>
          <wp:inline distT="0" distB="0" distL="0" distR="0">
            <wp:extent cx="4634300" cy="2743200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746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800" w:rsidRDefault="00A10800" w:rsidP="00A10800">
      <w:pPr>
        <w:bidi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</w:p>
    <w:p w:rsidR="00A10800" w:rsidRDefault="00A10800" w:rsidP="00A10800">
      <w:pPr>
        <w:bidi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 w:rsidRPr="00A1080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eastAsia="fr-FR"/>
        </w:rPr>
        <w:lastRenderedPageBreak/>
        <w:drawing>
          <wp:inline distT="0" distB="0" distL="0" distR="0">
            <wp:extent cx="4582861" cy="2933205"/>
            <wp:effectExtent l="19050" t="0" r="8189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936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800" w:rsidRDefault="00A10800" w:rsidP="00A10800">
      <w:pPr>
        <w:bidi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fr-FR" w:bidi="ar-TN"/>
        </w:rPr>
      </w:pPr>
      <w:r w:rsidRPr="00A1080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eastAsia="fr-FR"/>
        </w:rPr>
        <w:drawing>
          <wp:inline distT="0" distB="0" distL="0" distR="0">
            <wp:extent cx="4573422" cy="2850078"/>
            <wp:effectExtent l="1905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85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0800" w:rsidSect="0006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2AD"/>
    <w:multiLevelType w:val="hybridMultilevel"/>
    <w:tmpl w:val="DF7E5E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9C15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91055"/>
    <w:multiLevelType w:val="hybridMultilevel"/>
    <w:tmpl w:val="BF06C22E"/>
    <w:lvl w:ilvl="0" w:tplc="2304D9C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AC0822"/>
    <w:multiLevelType w:val="hybridMultilevel"/>
    <w:tmpl w:val="76D44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1057A"/>
    <w:rsid w:val="00061014"/>
    <w:rsid w:val="000643BA"/>
    <w:rsid w:val="00142537"/>
    <w:rsid w:val="00144D3F"/>
    <w:rsid w:val="00201AF5"/>
    <w:rsid w:val="002119CB"/>
    <w:rsid w:val="0025409A"/>
    <w:rsid w:val="002805D7"/>
    <w:rsid w:val="003B5A31"/>
    <w:rsid w:val="00435F40"/>
    <w:rsid w:val="0061057A"/>
    <w:rsid w:val="0065483B"/>
    <w:rsid w:val="007218F1"/>
    <w:rsid w:val="00873641"/>
    <w:rsid w:val="008B6433"/>
    <w:rsid w:val="00921659"/>
    <w:rsid w:val="009C1A39"/>
    <w:rsid w:val="00A10800"/>
    <w:rsid w:val="00A31C67"/>
    <w:rsid w:val="00C36AE3"/>
    <w:rsid w:val="00C45191"/>
    <w:rsid w:val="00CE16B3"/>
    <w:rsid w:val="00D73753"/>
    <w:rsid w:val="00D92D9D"/>
    <w:rsid w:val="00DE2F26"/>
    <w:rsid w:val="00E243CA"/>
    <w:rsid w:val="00E94555"/>
    <w:rsid w:val="00EB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F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375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36AE3"/>
    <w:rPr>
      <w:b/>
      <w:bCs/>
      <w:i w:val="0"/>
      <w:iCs w:val="0"/>
    </w:rPr>
  </w:style>
  <w:style w:type="character" w:customStyle="1" w:styleId="st1">
    <w:name w:val="st1"/>
    <w:basedOn w:val="Policepardfaut"/>
    <w:rsid w:val="00C36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SWEET</dc:creator>
  <cp:lastModifiedBy>presse</cp:lastModifiedBy>
  <cp:revision>3</cp:revision>
  <dcterms:created xsi:type="dcterms:W3CDTF">2014-09-22T12:08:00Z</dcterms:created>
  <dcterms:modified xsi:type="dcterms:W3CDTF">2014-09-22T12:45:00Z</dcterms:modified>
</cp:coreProperties>
</file>